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0FBB" w14:textId="77777777" w:rsidR="00211832" w:rsidRPr="008C4B60" w:rsidRDefault="00567E59" w:rsidP="00567E59">
      <w:pPr>
        <w:jc w:val="both"/>
        <w:rPr>
          <w:b/>
          <w:bCs/>
        </w:rPr>
      </w:pPr>
      <w:r w:rsidRPr="008C4B60">
        <w:rPr>
          <w:b/>
          <w:bCs/>
        </w:rPr>
        <w:t>TITLE:</w:t>
      </w:r>
    </w:p>
    <w:p w14:paraId="714F1F87" w14:textId="358051DA" w:rsidR="00567E59" w:rsidRPr="008C4B60" w:rsidRDefault="008C4B60" w:rsidP="00567E59">
      <w:pPr>
        <w:jc w:val="both"/>
        <w:rPr>
          <w:b/>
          <w:bCs/>
        </w:rPr>
      </w:pPr>
      <w:r w:rsidRPr="008C4B60">
        <w:rPr>
          <w:b/>
          <w:bCs/>
        </w:rPr>
        <w:t xml:space="preserve">An </w:t>
      </w:r>
      <w:r w:rsidR="00142AA8">
        <w:rPr>
          <w:b/>
          <w:bCs/>
        </w:rPr>
        <w:t>a</w:t>
      </w:r>
      <w:r w:rsidRPr="008C4B60">
        <w:rPr>
          <w:b/>
          <w:bCs/>
        </w:rPr>
        <w:t xml:space="preserve">ct to </w:t>
      </w:r>
      <w:r w:rsidR="00142AA8">
        <w:rPr>
          <w:b/>
          <w:bCs/>
        </w:rPr>
        <w:t>e</w:t>
      </w:r>
      <w:r w:rsidRPr="008C4B60">
        <w:rPr>
          <w:b/>
          <w:bCs/>
        </w:rPr>
        <w:t xml:space="preserve">nsure </w:t>
      </w:r>
      <w:r w:rsidR="00142AA8">
        <w:rPr>
          <w:b/>
          <w:bCs/>
        </w:rPr>
        <w:t>p</w:t>
      </w:r>
      <w:r w:rsidRPr="008C4B60">
        <w:rPr>
          <w:b/>
          <w:bCs/>
        </w:rPr>
        <w:t xml:space="preserve">atient </w:t>
      </w:r>
      <w:r w:rsidR="00142AA8">
        <w:rPr>
          <w:b/>
          <w:bCs/>
        </w:rPr>
        <w:t>c</w:t>
      </w:r>
      <w:r w:rsidRPr="008C4B60">
        <w:rPr>
          <w:b/>
          <w:bCs/>
        </w:rPr>
        <w:t xml:space="preserve">hoice in the </w:t>
      </w:r>
      <w:r w:rsidR="00142AA8">
        <w:rPr>
          <w:b/>
          <w:bCs/>
        </w:rPr>
        <w:t>s</w:t>
      </w:r>
      <w:r w:rsidRPr="008C4B60">
        <w:rPr>
          <w:b/>
          <w:bCs/>
        </w:rPr>
        <w:t xml:space="preserve">ource of </w:t>
      </w:r>
      <w:r w:rsidR="00142AA8">
        <w:rPr>
          <w:b/>
          <w:bCs/>
        </w:rPr>
        <w:t>b</w:t>
      </w:r>
      <w:r w:rsidRPr="008C4B60">
        <w:rPr>
          <w:b/>
          <w:bCs/>
        </w:rPr>
        <w:t xml:space="preserve">lood </w:t>
      </w:r>
      <w:r w:rsidR="00142AA8">
        <w:rPr>
          <w:b/>
          <w:bCs/>
        </w:rPr>
        <w:t>p</w:t>
      </w:r>
      <w:r w:rsidRPr="008C4B60">
        <w:rPr>
          <w:b/>
          <w:bCs/>
        </w:rPr>
        <w:t xml:space="preserve">roducts </w:t>
      </w:r>
      <w:r w:rsidR="00142AA8">
        <w:rPr>
          <w:b/>
          <w:bCs/>
        </w:rPr>
        <w:t>u</w:t>
      </w:r>
      <w:r w:rsidRPr="008C4B60">
        <w:rPr>
          <w:b/>
          <w:bCs/>
        </w:rPr>
        <w:t xml:space="preserve">sed </w:t>
      </w:r>
      <w:r w:rsidR="00142AA8">
        <w:rPr>
          <w:b/>
          <w:bCs/>
        </w:rPr>
        <w:t>d</w:t>
      </w:r>
      <w:r w:rsidRPr="008C4B60">
        <w:rPr>
          <w:b/>
          <w:bCs/>
        </w:rPr>
        <w:t xml:space="preserve">uring </w:t>
      </w:r>
      <w:r w:rsidR="00142AA8">
        <w:rPr>
          <w:b/>
          <w:bCs/>
        </w:rPr>
        <w:t>m</w:t>
      </w:r>
      <w:r w:rsidRPr="008C4B60">
        <w:rPr>
          <w:b/>
          <w:bCs/>
        </w:rPr>
        <w:t>edical</w:t>
      </w:r>
      <w:r w:rsidR="00142AA8">
        <w:rPr>
          <w:b/>
          <w:bCs/>
        </w:rPr>
        <w:t xml:space="preserve"> p</w:t>
      </w:r>
      <w:r w:rsidRPr="008C4B60">
        <w:rPr>
          <w:b/>
          <w:bCs/>
        </w:rPr>
        <w:t>rocedures</w:t>
      </w:r>
      <w:r w:rsidR="00142AA8">
        <w:rPr>
          <w:b/>
          <w:bCs/>
        </w:rPr>
        <w:t>.</w:t>
      </w:r>
    </w:p>
    <w:p w14:paraId="24C0D49A" w14:textId="77777777" w:rsidR="00211832" w:rsidRPr="008C4B60" w:rsidRDefault="00567E59" w:rsidP="00567E59">
      <w:pPr>
        <w:jc w:val="both"/>
        <w:rPr>
          <w:b/>
          <w:bCs/>
        </w:rPr>
      </w:pPr>
      <w:r w:rsidRPr="008C4B60">
        <w:rPr>
          <w:b/>
          <w:bCs/>
        </w:rPr>
        <w:t>PURPOSE:</w:t>
      </w:r>
    </w:p>
    <w:p w14:paraId="3D7810D5" w14:textId="69F60886" w:rsidR="008C4B60" w:rsidRPr="008C4B60" w:rsidRDefault="00142AA8" w:rsidP="008C4B60">
      <w:pPr>
        <w:jc w:val="both"/>
      </w:pPr>
      <w:r>
        <w:t>G</w:t>
      </w:r>
      <w:r w:rsidR="008C4B60" w:rsidRPr="008C4B60">
        <w:t>uarantee</w:t>
      </w:r>
      <w:r>
        <w:t>s</w:t>
      </w:r>
      <w:r w:rsidR="008C4B60" w:rsidRPr="008C4B60">
        <w:t xml:space="preserve"> that patients </w:t>
      </w:r>
      <w:r w:rsidR="00B65F02">
        <w:t>have informed consent regarding</w:t>
      </w:r>
      <w:r w:rsidR="008C4B60" w:rsidRPr="008C4B60">
        <w:t xml:space="preserve"> the source of any blood products used during scheduled medical procedures and require</w:t>
      </w:r>
      <w:r>
        <w:t>s</w:t>
      </w:r>
      <w:r w:rsidR="008C4B60" w:rsidRPr="008C4B60">
        <w:t xml:space="preserve"> health care providers to honor those decisions when made in advance.</w:t>
      </w:r>
    </w:p>
    <w:p w14:paraId="5ABA054C" w14:textId="77777777" w:rsidR="00211832" w:rsidRPr="008C4B60" w:rsidRDefault="00567E59" w:rsidP="00567E59">
      <w:pPr>
        <w:jc w:val="both"/>
        <w:rPr>
          <w:b/>
          <w:bCs/>
        </w:rPr>
      </w:pPr>
      <w:r w:rsidRPr="008C4B60">
        <w:rPr>
          <w:b/>
          <w:bCs/>
        </w:rPr>
        <w:t>JUSTIFICATION:</w:t>
      </w:r>
    </w:p>
    <w:p w14:paraId="4FE906DC" w14:textId="0EF0BCC1" w:rsidR="00567E59" w:rsidRPr="008C4B60" w:rsidRDefault="00D314C9" w:rsidP="00567E59">
      <w:pPr>
        <w:jc w:val="both"/>
      </w:pPr>
      <w:r>
        <w:t xml:space="preserve">For </w:t>
      </w:r>
      <w:r w:rsidRPr="008C4B60">
        <w:t>medical, personal, cultural, or religious</w:t>
      </w:r>
      <w:r>
        <w:t xml:space="preserve"> reasons, s</w:t>
      </w:r>
      <w:r w:rsidR="008C4B60" w:rsidRPr="008C4B60">
        <w:t xml:space="preserve">ome patients preparing for medical procedures </w:t>
      </w:r>
      <w:r>
        <w:t>require</w:t>
      </w:r>
      <w:r w:rsidRPr="008C4B60">
        <w:t xml:space="preserve"> </w:t>
      </w:r>
      <w:r w:rsidR="004B421B">
        <w:t xml:space="preserve">that the </w:t>
      </w:r>
      <w:r w:rsidR="008C4B60" w:rsidRPr="008C4B60">
        <w:t xml:space="preserve">blood products used </w:t>
      </w:r>
      <w:r>
        <w:t>in</w:t>
      </w:r>
      <w:r w:rsidRPr="008C4B60">
        <w:t xml:space="preserve"> </w:t>
      </w:r>
      <w:r w:rsidR="008C4B60" w:rsidRPr="008C4B60">
        <w:t xml:space="preserve">their care come from a </w:t>
      </w:r>
      <w:r w:rsidR="00A073E3">
        <w:t xml:space="preserve">specific </w:t>
      </w:r>
      <w:r w:rsidR="008C4B60" w:rsidRPr="008C4B60">
        <w:t xml:space="preserve">source—whether through </w:t>
      </w:r>
      <w:r w:rsidR="00511EF5">
        <w:t>autologous</w:t>
      </w:r>
      <w:r w:rsidR="00A073E3">
        <w:t xml:space="preserve"> (self-donated)</w:t>
      </w:r>
      <w:r w:rsidR="00511EF5">
        <w:t xml:space="preserve"> blood</w:t>
      </w:r>
      <w:r w:rsidR="00B65F02" w:rsidRPr="008C4B60">
        <w:t xml:space="preserve"> </w:t>
      </w:r>
      <w:r w:rsidR="008C4B60" w:rsidRPr="008C4B60">
        <w:t>donation</w:t>
      </w:r>
      <w:r w:rsidR="00B65F02">
        <w:t>s</w:t>
      </w:r>
      <w:r w:rsidR="008C4B60" w:rsidRPr="008C4B60">
        <w:t xml:space="preserve"> or patient-designated donor</w:t>
      </w:r>
      <w:r w:rsidR="00B65F02">
        <w:t>s</w:t>
      </w:r>
      <w:r w:rsidR="008C4B60" w:rsidRPr="008C4B60">
        <w:t xml:space="preserve">. This </w:t>
      </w:r>
      <w:r w:rsidR="00142AA8">
        <w:t>a</w:t>
      </w:r>
      <w:r w:rsidR="008C4B60" w:rsidRPr="008C4B60">
        <w:t>ct ensures that</w:t>
      </w:r>
      <w:r>
        <w:t xml:space="preserve"> </w:t>
      </w:r>
      <w:r w:rsidR="008C4B60" w:rsidRPr="008C4B60">
        <w:t>patient</w:t>
      </w:r>
      <w:r>
        <w:t>s’</w:t>
      </w:r>
      <w:r w:rsidR="008C4B60" w:rsidRPr="008C4B60">
        <w:t xml:space="preserve"> informed decision</w:t>
      </w:r>
      <w:r>
        <w:t>s</w:t>
      </w:r>
      <w:r w:rsidR="008C4B60" w:rsidRPr="008C4B60">
        <w:t xml:space="preserve"> about the source of blood products to be </w:t>
      </w:r>
      <w:r w:rsidR="00A073E3" w:rsidRPr="008C4B60">
        <w:t>administered</w:t>
      </w:r>
      <w:r w:rsidR="00A073E3">
        <w:t xml:space="preserve"> in </w:t>
      </w:r>
      <w:r w:rsidR="00A073E3" w:rsidRPr="00A073E3">
        <w:t>non-emergency care</w:t>
      </w:r>
      <w:r w:rsidR="008C4B60" w:rsidRPr="008C4B60">
        <w:t xml:space="preserve"> </w:t>
      </w:r>
      <w:r>
        <w:t>are</w:t>
      </w:r>
      <w:r w:rsidR="008C4B60" w:rsidRPr="008C4B60">
        <w:t xml:space="preserve"> honored. It protects patients</w:t>
      </w:r>
      <w:r w:rsidR="00A073E3">
        <w:t>’</w:t>
      </w:r>
      <w:r w:rsidR="008C4B60" w:rsidRPr="008C4B60">
        <w:t xml:space="preserve"> ability to give or withhold </w:t>
      </w:r>
      <w:r w:rsidR="00A073E3">
        <w:t>informed co</w:t>
      </w:r>
      <w:r w:rsidR="008C4B60" w:rsidRPr="008C4B60">
        <w:t xml:space="preserve">nsent and provides </w:t>
      </w:r>
      <w:r w:rsidR="004B421B">
        <w:t>redress</w:t>
      </w:r>
      <w:r w:rsidR="004B421B" w:rsidRPr="008C4B60">
        <w:t xml:space="preserve"> </w:t>
      </w:r>
      <w:r w:rsidR="008C4B60" w:rsidRPr="008C4B60">
        <w:t>if that choice is disregarded</w:t>
      </w:r>
      <w:r w:rsidR="0003620F" w:rsidRPr="008C4B60">
        <w:t>.</w:t>
      </w:r>
    </w:p>
    <w:p w14:paraId="089A94A1" w14:textId="77777777" w:rsidR="00567E59" w:rsidRPr="008C4B60" w:rsidRDefault="00567E59" w:rsidP="00567E59">
      <w:pPr>
        <w:jc w:val="both"/>
        <w:rPr>
          <w:b/>
          <w:bCs/>
        </w:rPr>
      </w:pPr>
      <w:r w:rsidRPr="008C4B60">
        <w:rPr>
          <w:b/>
          <w:bCs/>
        </w:rPr>
        <w:t>TEXT</w:t>
      </w:r>
    </w:p>
    <w:p w14:paraId="6EF5FEAE" w14:textId="1380DC46" w:rsidR="008C4B60" w:rsidRPr="008C4B60" w:rsidRDefault="008C4B60" w:rsidP="008C4B60">
      <w:r w:rsidRPr="008C4B60">
        <w:rPr>
          <w:b/>
          <w:bCs/>
        </w:rPr>
        <w:t>Section 1. Patient-Controlled Blood Product Administration</w:t>
      </w:r>
    </w:p>
    <w:p w14:paraId="6E383C30" w14:textId="0136451F" w:rsidR="008C4B60" w:rsidRPr="008C4B60" w:rsidRDefault="008C4B60" w:rsidP="008C4B60">
      <w:pPr>
        <w:jc w:val="both"/>
      </w:pPr>
      <w:r w:rsidRPr="008C4B60">
        <w:t xml:space="preserve">(a) </w:t>
      </w:r>
      <w:r w:rsidR="00B3628F" w:rsidRPr="00B3628F">
        <w:t xml:space="preserve">If, prior to a scheduled medical procedure, a patient submits </w:t>
      </w:r>
      <w:r w:rsidR="00142AA8" w:rsidRPr="00B3628F">
        <w:t xml:space="preserve">a written request </w:t>
      </w:r>
      <w:r w:rsidR="00B3628F" w:rsidRPr="00B3628F">
        <w:t xml:space="preserve">to the health care facility or provider specifying that only autologous or patient-designated donor blood products may be administered, the health care facility and the health care provider performing the procedure </w:t>
      </w:r>
      <w:r w:rsidR="004C3683" w:rsidRPr="004C3683">
        <w:t>shall ensure that no blood products are administered during non-emergency care other than those specified in the request</w:t>
      </w:r>
      <w:r w:rsidRPr="008C4B60">
        <w:t>.</w:t>
      </w:r>
    </w:p>
    <w:p w14:paraId="7BAB74CA" w14:textId="04C10381" w:rsidR="008C4B60" w:rsidRPr="008C4B60" w:rsidRDefault="008C4B60" w:rsidP="008C4B60">
      <w:pPr>
        <w:jc w:val="both"/>
      </w:pPr>
      <w:r w:rsidRPr="008C4B60">
        <w:t xml:space="preserve">(b) </w:t>
      </w:r>
      <w:r w:rsidR="00142AA8" w:rsidRPr="00142AA8">
        <w:t xml:space="preserve">Upon receiving such a request, the health care facility or provider shall coordinate timely collection, acceptance, storage, and preparation of the requested blood products using processes and procedures substantially </w:t>
      </w:r>
      <w:proofErr w:type="gramStart"/>
      <w:r w:rsidR="00142AA8" w:rsidRPr="00142AA8">
        <w:t>similar to</w:t>
      </w:r>
      <w:proofErr w:type="gramEnd"/>
      <w:r w:rsidR="00142AA8" w:rsidRPr="00142AA8">
        <w:t xml:space="preserve"> those used for non-patient-designated blood products</w:t>
      </w:r>
      <w:r w:rsidRPr="008C4B60">
        <w:t xml:space="preserve">. </w:t>
      </w:r>
    </w:p>
    <w:p w14:paraId="731C744A" w14:textId="44945FCD" w:rsidR="008C4B60" w:rsidRPr="008C4B60" w:rsidRDefault="008C4B60" w:rsidP="008C4B60">
      <w:pPr>
        <w:jc w:val="both"/>
      </w:pPr>
      <w:r w:rsidRPr="008C4B60">
        <w:t xml:space="preserve">(c) All </w:t>
      </w:r>
      <w:r w:rsidR="00142AA8">
        <w:t>autologous</w:t>
      </w:r>
      <w:r w:rsidRPr="008C4B60">
        <w:t xml:space="preserve"> or patient-designated donor blood products </w:t>
      </w:r>
      <w:r w:rsidR="0039037C">
        <w:t>shall be</w:t>
      </w:r>
      <w:r w:rsidR="0039037C" w:rsidRPr="008C4B60">
        <w:t xml:space="preserve"> </w:t>
      </w:r>
      <w:r w:rsidRPr="008C4B60">
        <w:t xml:space="preserve">subject to the same laws and </w:t>
      </w:r>
      <w:r w:rsidR="003F06E9" w:rsidRPr="008C4B60">
        <w:t xml:space="preserve">safety </w:t>
      </w:r>
      <w:r w:rsidRPr="008C4B60">
        <w:t>standards govern</w:t>
      </w:r>
      <w:r w:rsidR="00142AA8">
        <w:t>ing</w:t>
      </w:r>
      <w:r w:rsidRPr="008C4B60">
        <w:t xml:space="preserve"> the collection, testing, </w:t>
      </w:r>
      <w:r w:rsidR="003F06E9">
        <w:t xml:space="preserve">and </w:t>
      </w:r>
      <w:r w:rsidRPr="008C4B60">
        <w:t xml:space="preserve">handling </w:t>
      </w:r>
      <w:r w:rsidR="00142AA8">
        <w:t xml:space="preserve">of </w:t>
      </w:r>
      <w:r w:rsidRPr="008C4B60">
        <w:t>other</w:t>
      </w:r>
      <w:r w:rsidR="00142AA8">
        <w:t xml:space="preserve"> </w:t>
      </w:r>
      <w:r w:rsidRPr="008C4B60">
        <w:t>blood products.</w:t>
      </w:r>
    </w:p>
    <w:p w14:paraId="25A63817" w14:textId="7772E1F7" w:rsidR="008C4B60" w:rsidRPr="008C4B60" w:rsidRDefault="004C3683" w:rsidP="008C4B60">
      <w:pPr>
        <w:rPr>
          <w:b/>
          <w:bCs/>
        </w:rPr>
      </w:pPr>
      <w:r>
        <w:rPr>
          <w:b/>
          <w:bCs/>
        </w:rPr>
        <w:t xml:space="preserve">Section 2. </w:t>
      </w:r>
      <w:r w:rsidR="008C4B60" w:rsidRPr="008C4B60">
        <w:rPr>
          <w:b/>
          <w:bCs/>
        </w:rPr>
        <w:t xml:space="preserve">Informed Consent for Blood Product Use </w:t>
      </w:r>
      <w:r w:rsidR="008C4B60">
        <w:rPr>
          <w:b/>
          <w:bCs/>
        </w:rPr>
        <w:t>o</w:t>
      </w:r>
      <w:r w:rsidR="008C4B60" w:rsidRPr="008C4B60">
        <w:rPr>
          <w:b/>
          <w:bCs/>
        </w:rPr>
        <w:t>r Withholding</w:t>
      </w:r>
    </w:p>
    <w:p w14:paraId="74C291E9" w14:textId="2CAECE3E" w:rsidR="008C4B60" w:rsidRPr="008C4B60" w:rsidRDefault="008C4B60" w:rsidP="008C4B60">
      <w:pPr>
        <w:jc w:val="both"/>
      </w:pPr>
      <w:r w:rsidRPr="008C4B60">
        <w:t xml:space="preserve">(a) No </w:t>
      </w:r>
      <w:r w:rsidR="0039037C">
        <w:t xml:space="preserve">autologous </w:t>
      </w:r>
      <w:r w:rsidR="003F06E9" w:rsidRPr="008C4B60">
        <w:t xml:space="preserve">or patient-designated donor blood product </w:t>
      </w:r>
      <w:r w:rsidRPr="008C4B60">
        <w:t xml:space="preserve">may be administered to or withheld from a patient based on screening results </w:t>
      </w:r>
      <w:r w:rsidR="00A073E3" w:rsidRPr="00A073E3">
        <w:t xml:space="preserve">unless the patient has first received full </w:t>
      </w:r>
      <w:r w:rsidR="00A073E3" w:rsidRPr="00A073E3">
        <w:lastRenderedPageBreak/>
        <w:t>disclosure of the screening results and has provided fully informed, written authorization for such administration or withholding</w:t>
      </w:r>
      <w:r w:rsidRPr="008C4B60">
        <w:t>.</w:t>
      </w:r>
    </w:p>
    <w:p w14:paraId="161174F6" w14:textId="36214881" w:rsidR="008C4B60" w:rsidRPr="008C4B60" w:rsidRDefault="008C4B60" w:rsidP="008C4B60">
      <w:pPr>
        <w:jc w:val="both"/>
      </w:pPr>
      <w:r w:rsidRPr="008C4B60">
        <w:t xml:space="preserve">(b) </w:t>
      </w:r>
      <w:r w:rsidR="0039037C">
        <w:t>In cases of autologous blood</w:t>
      </w:r>
      <w:r w:rsidR="0039037C" w:rsidRPr="008C4B60">
        <w:t xml:space="preserve"> </w:t>
      </w:r>
      <w:r w:rsidR="00A073E3">
        <w:t xml:space="preserve">product </w:t>
      </w:r>
      <w:r w:rsidR="0039037C" w:rsidRPr="008C4B60">
        <w:t>donation</w:t>
      </w:r>
      <w:r w:rsidR="00A073E3">
        <w:t>s</w:t>
      </w:r>
      <w:r w:rsidR="0039037C">
        <w:t xml:space="preserve">, </w:t>
      </w:r>
      <w:r w:rsidRPr="008C4B60">
        <w:t>screening results shall be provided directly to the patient.</w:t>
      </w:r>
    </w:p>
    <w:p w14:paraId="36C0CED8" w14:textId="34F3866A" w:rsidR="008C4B60" w:rsidRPr="008C4B60" w:rsidRDefault="008C4B60" w:rsidP="008C4B60">
      <w:pPr>
        <w:jc w:val="both"/>
      </w:pPr>
      <w:r w:rsidRPr="008C4B60">
        <w:t>(</w:t>
      </w:r>
      <w:r w:rsidR="00142AA8">
        <w:t>c</w:t>
      </w:r>
      <w:r w:rsidRPr="008C4B60">
        <w:t xml:space="preserve">) </w:t>
      </w:r>
      <w:r w:rsidR="00142AA8" w:rsidRPr="00142AA8">
        <w:t>In cases of patient-designated donor blood products, screening results shall</w:t>
      </w:r>
      <w:r w:rsidR="00142AA8">
        <w:t xml:space="preserve"> first</w:t>
      </w:r>
      <w:r w:rsidRPr="008C4B60">
        <w:t xml:space="preserve"> be provided to the donor, who must authorize or decline disclosure to the patient in writing.</w:t>
      </w:r>
    </w:p>
    <w:p w14:paraId="1DCC0744" w14:textId="0C384F7D" w:rsidR="008C4B60" w:rsidRPr="008C4B60" w:rsidRDefault="004C3683" w:rsidP="008C4B60">
      <w:r w:rsidRPr="008C4B60">
        <w:rPr>
          <w:b/>
          <w:bCs/>
        </w:rPr>
        <w:t xml:space="preserve">Section </w:t>
      </w:r>
      <w:r>
        <w:rPr>
          <w:b/>
          <w:bCs/>
        </w:rPr>
        <w:t>3</w:t>
      </w:r>
      <w:r w:rsidRPr="008C4B60">
        <w:rPr>
          <w:b/>
          <w:bCs/>
        </w:rPr>
        <w:t xml:space="preserve">. </w:t>
      </w:r>
      <w:r w:rsidR="008C4B60" w:rsidRPr="008C4B60">
        <w:rPr>
          <w:b/>
          <w:bCs/>
        </w:rPr>
        <w:t xml:space="preserve">Administration </w:t>
      </w:r>
      <w:r w:rsidR="008C4B60">
        <w:rPr>
          <w:b/>
          <w:bCs/>
        </w:rPr>
        <w:t>o</w:t>
      </w:r>
      <w:r w:rsidR="008C4B60" w:rsidRPr="008C4B60">
        <w:rPr>
          <w:b/>
          <w:bCs/>
        </w:rPr>
        <w:t xml:space="preserve">f </w:t>
      </w:r>
      <w:r w:rsidR="00A073E3">
        <w:rPr>
          <w:b/>
          <w:bCs/>
        </w:rPr>
        <w:t>Additional</w:t>
      </w:r>
      <w:r w:rsidR="008C4B60" w:rsidRPr="008C4B60">
        <w:rPr>
          <w:b/>
          <w:bCs/>
        </w:rPr>
        <w:t xml:space="preserve"> Blood Products</w:t>
      </w:r>
      <w:r w:rsidR="00A073E3">
        <w:rPr>
          <w:b/>
          <w:bCs/>
        </w:rPr>
        <w:t xml:space="preserve"> in Emergencies</w:t>
      </w:r>
    </w:p>
    <w:p w14:paraId="1B68559E" w14:textId="4C798507" w:rsidR="00A073E3" w:rsidRDefault="00A073E3" w:rsidP="008C4B60">
      <w:pPr>
        <w:jc w:val="both"/>
      </w:pPr>
      <w:r>
        <w:t xml:space="preserve">(a) </w:t>
      </w:r>
      <w:r w:rsidR="001D2197">
        <w:t xml:space="preserve">Where </w:t>
      </w:r>
      <w:r w:rsidR="008C4B60" w:rsidRPr="008C4B60">
        <w:t xml:space="preserve">a patient has </w:t>
      </w:r>
      <w:r w:rsidR="00142AA8">
        <w:t>submitted a written</w:t>
      </w:r>
      <w:r w:rsidR="008C4B60" w:rsidRPr="008C4B60">
        <w:t xml:space="preserve"> request </w:t>
      </w:r>
      <w:r w:rsidR="00142AA8">
        <w:t xml:space="preserve">for </w:t>
      </w:r>
      <w:r w:rsidR="004B421B">
        <w:t xml:space="preserve">autologous </w:t>
      </w:r>
      <w:r w:rsidR="008C4B60" w:rsidRPr="008C4B60">
        <w:t xml:space="preserve">or patient-designated donor blood products under Section </w:t>
      </w:r>
      <w:r w:rsidR="007C796C">
        <w:t>1</w:t>
      </w:r>
      <w:r w:rsidR="008C4B60" w:rsidRPr="008C4B60">
        <w:t>(a),</w:t>
      </w:r>
      <w:r w:rsidR="001D2197">
        <w:t xml:space="preserve"> and where there is an inadequate supply of autologous or patient-designated donor blood product, t</w:t>
      </w:r>
      <w:r>
        <w:t xml:space="preserve">he </w:t>
      </w:r>
      <w:r w:rsidR="008C4B60" w:rsidRPr="008C4B60">
        <w:t>health care facility or provider may</w:t>
      </w:r>
      <w:r w:rsidR="001D2197">
        <w:t xml:space="preserve"> </w:t>
      </w:r>
      <w:r w:rsidR="008C4B60" w:rsidRPr="008C4B60">
        <w:t xml:space="preserve">administer </w:t>
      </w:r>
      <w:r>
        <w:t xml:space="preserve">additional </w:t>
      </w:r>
      <w:r w:rsidR="008C4B60" w:rsidRPr="008C4B60">
        <w:t>blood product</w:t>
      </w:r>
      <w:r>
        <w:t>s</w:t>
      </w:r>
      <w:r w:rsidR="008C4B60" w:rsidRPr="008C4B60">
        <w:t xml:space="preserve"> not </w:t>
      </w:r>
      <w:r>
        <w:t>previously</w:t>
      </w:r>
      <w:r w:rsidR="008C4B60" w:rsidRPr="008C4B60">
        <w:t xml:space="preserve"> authorized by the patient</w:t>
      </w:r>
      <w:r w:rsidR="00B3628F">
        <w:t xml:space="preserve"> </w:t>
      </w:r>
      <w:r w:rsidR="00142AA8">
        <w:t>if</w:t>
      </w:r>
      <w:r w:rsidR="00B3628F" w:rsidRPr="00B3628F">
        <w:t xml:space="preserve"> a</w:t>
      </w:r>
      <w:r w:rsidR="005E18BE">
        <w:t>n</w:t>
      </w:r>
      <w:r w:rsidR="00B3628F" w:rsidRPr="00B3628F">
        <w:t xml:space="preserve"> </w:t>
      </w:r>
      <w:r w:rsidR="005E18BE">
        <w:t>unforeseen</w:t>
      </w:r>
      <w:r w:rsidR="008C35AE">
        <w:t>,</w:t>
      </w:r>
      <w:r w:rsidR="005E18BE">
        <w:t xml:space="preserve"> </w:t>
      </w:r>
      <w:r w:rsidR="00B3628F" w:rsidRPr="00B3628F">
        <w:t xml:space="preserve">sudden, life-threatening medical event </w:t>
      </w:r>
      <w:r w:rsidR="00142AA8">
        <w:t xml:space="preserve">arises </w:t>
      </w:r>
      <w:r w:rsidR="00B3628F" w:rsidRPr="00B3628F">
        <w:t>where delay in treatment would pose a serious risk to the patient’s life, as certified in writing by the attending physician or the physician providing emergency care</w:t>
      </w:r>
      <w:r w:rsidR="00142AA8">
        <w:t xml:space="preserve"> immediately following the emergency</w:t>
      </w:r>
      <w:r>
        <w:t xml:space="preserve">. </w:t>
      </w:r>
    </w:p>
    <w:p w14:paraId="64F1C2E3" w14:textId="013CEE74" w:rsidR="008C4B60" w:rsidRPr="008C4B60" w:rsidRDefault="00A073E3" w:rsidP="008C4B60">
      <w:pPr>
        <w:jc w:val="both"/>
      </w:pPr>
      <w:r>
        <w:t>(b) The authority under subsection (a) shall not apply if</w:t>
      </w:r>
      <w:r w:rsidR="008C4B60" w:rsidRPr="008C4B60">
        <w:t xml:space="preserve">, </w:t>
      </w:r>
      <w:r>
        <w:t>prior to the scheduled procedure, the patient has executed a written declination of emergency administration of additional blood products on a form that</w:t>
      </w:r>
      <w:r w:rsidR="008C4B60" w:rsidRPr="008C4B60">
        <w:t>:</w:t>
      </w:r>
    </w:p>
    <w:p w14:paraId="7D000C44" w14:textId="492BACF1" w:rsidR="00A073E3" w:rsidRDefault="00A073E3" w:rsidP="00A073E3">
      <w:pPr>
        <w:numPr>
          <w:ilvl w:val="0"/>
          <w:numId w:val="13"/>
        </w:numPr>
        <w:contextualSpacing/>
        <w:jc w:val="both"/>
      </w:pPr>
      <w:r>
        <w:t xml:space="preserve">states that the patient declines administration of any blood products beyond those previously authorized, even in life-threatening </w:t>
      </w:r>
      <w:proofErr w:type="gramStart"/>
      <w:r>
        <w:t>emergencies;</w:t>
      </w:r>
      <w:proofErr w:type="gramEnd"/>
    </w:p>
    <w:p w14:paraId="04F7D996" w14:textId="1667CA76" w:rsidR="00A073E3" w:rsidRDefault="00A073E3" w:rsidP="00A073E3">
      <w:pPr>
        <w:numPr>
          <w:ilvl w:val="0"/>
          <w:numId w:val="13"/>
        </w:numPr>
        <w:contextualSpacing/>
        <w:jc w:val="both"/>
      </w:pPr>
      <w:r>
        <w:t>affirms that the patient has been fully informed of the medical risks, including the risk of death, associated with such refusal; and</w:t>
      </w:r>
    </w:p>
    <w:p w14:paraId="6C85F55A" w14:textId="2B297B3C" w:rsidR="008C4B60" w:rsidRPr="008C4B60" w:rsidRDefault="00A073E3" w:rsidP="00A073E3">
      <w:pPr>
        <w:numPr>
          <w:ilvl w:val="0"/>
          <w:numId w:val="13"/>
        </w:numPr>
        <w:contextualSpacing/>
        <w:jc w:val="both"/>
      </w:pPr>
      <w:r>
        <w:t>is signed and dated by both the patient and the attending provider prior to the procedure</w:t>
      </w:r>
      <w:r w:rsidR="008C4B60" w:rsidRPr="008C4B60">
        <w:t>.</w:t>
      </w:r>
    </w:p>
    <w:p w14:paraId="02D63C1F" w14:textId="368D36AC" w:rsidR="008C4B60" w:rsidRPr="001446E3" w:rsidRDefault="004C3683" w:rsidP="008C4B60">
      <w:pPr>
        <w:rPr>
          <w:b/>
          <w:bCs/>
        </w:rPr>
      </w:pPr>
      <w:r w:rsidRPr="008C4B60">
        <w:rPr>
          <w:b/>
          <w:bCs/>
        </w:rPr>
        <w:t xml:space="preserve">Section </w:t>
      </w:r>
      <w:r>
        <w:rPr>
          <w:b/>
          <w:bCs/>
        </w:rPr>
        <w:t>4</w:t>
      </w:r>
      <w:r w:rsidRPr="008C4B60">
        <w:rPr>
          <w:b/>
          <w:bCs/>
        </w:rPr>
        <w:t xml:space="preserve">. </w:t>
      </w:r>
      <w:r w:rsidR="008C4B60" w:rsidRPr="004C3683">
        <w:rPr>
          <w:b/>
          <w:bCs/>
        </w:rPr>
        <w:t xml:space="preserve">Enforcement </w:t>
      </w:r>
      <w:r w:rsidR="00142AA8" w:rsidRPr="004C3683">
        <w:rPr>
          <w:b/>
          <w:bCs/>
        </w:rPr>
        <w:t>a</w:t>
      </w:r>
      <w:r w:rsidR="008C4B60" w:rsidRPr="004C3683">
        <w:rPr>
          <w:b/>
          <w:bCs/>
        </w:rPr>
        <w:t>nd Remedies</w:t>
      </w:r>
    </w:p>
    <w:p w14:paraId="6FCD169C" w14:textId="080745E4" w:rsidR="008C4B60" w:rsidRPr="008C4B60" w:rsidRDefault="008C4B60" w:rsidP="008C4B60">
      <w:pPr>
        <w:jc w:val="both"/>
      </w:pPr>
      <w:r w:rsidRPr="008C4B60">
        <w:t xml:space="preserve">(a) Any person </w:t>
      </w:r>
      <w:r w:rsidR="00142AA8">
        <w:t xml:space="preserve">who believes </w:t>
      </w:r>
      <w:r w:rsidR="004D4349">
        <w:t xml:space="preserve">his </w:t>
      </w:r>
      <w:r w:rsidR="00142AA8">
        <w:t xml:space="preserve">rights under </w:t>
      </w:r>
      <w:r w:rsidRPr="008C4B60">
        <w:t xml:space="preserve">this </w:t>
      </w:r>
      <w:r w:rsidR="00142AA8">
        <w:t>a</w:t>
      </w:r>
      <w:r w:rsidRPr="008C4B60">
        <w:t>ct</w:t>
      </w:r>
      <w:r w:rsidR="00142AA8">
        <w:t xml:space="preserve"> have been violated</w:t>
      </w:r>
      <w:r w:rsidRPr="008C4B60">
        <w:t xml:space="preserve"> may bring a civil action for:</w:t>
      </w:r>
    </w:p>
    <w:p w14:paraId="29E960B7" w14:textId="77777777" w:rsidR="008C4B60" w:rsidRPr="008C4B60" w:rsidRDefault="008C4B60" w:rsidP="008C4B60">
      <w:pPr>
        <w:numPr>
          <w:ilvl w:val="0"/>
          <w:numId w:val="11"/>
        </w:numPr>
        <w:contextualSpacing/>
        <w:jc w:val="both"/>
      </w:pPr>
      <w:r w:rsidRPr="008C4B60">
        <w:t xml:space="preserve">declaratory or injunctive </w:t>
      </w:r>
      <w:proofErr w:type="gramStart"/>
      <w:r w:rsidRPr="008C4B60">
        <w:t>relief;</w:t>
      </w:r>
      <w:proofErr w:type="gramEnd"/>
    </w:p>
    <w:p w14:paraId="79300CFE" w14:textId="696E30CE" w:rsidR="008C4B60" w:rsidRPr="008C4B60" w:rsidRDefault="008C4B60" w:rsidP="008C4B60">
      <w:pPr>
        <w:numPr>
          <w:ilvl w:val="0"/>
          <w:numId w:val="11"/>
        </w:numPr>
        <w:contextualSpacing/>
        <w:jc w:val="both"/>
      </w:pPr>
      <w:r w:rsidRPr="008C4B60">
        <w:t xml:space="preserve">statutory damages of $10,000 per violation or actual damages, whichever is </w:t>
      </w:r>
      <w:proofErr w:type="gramStart"/>
      <w:r w:rsidRPr="008C4B60">
        <w:t>greater;</w:t>
      </w:r>
      <w:proofErr w:type="gramEnd"/>
    </w:p>
    <w:p w14:paraId="436F552C" w14:textId="77777777" w:rsidR="008C4B60" w:rsidRPr="008C4B60" w:rsidRDefault="008C4B60" w:rsidP="008C4B60">
      <w:pPr>
        <w:numPr>
          <w:ilvl w:val="0"/>
          <w:numId w:val="11"/>
        </w:numPr>
        <w:contextualSpacing/>
        <w:jc w:val="both"/>
      </w:pPr>
      <w:r w:rsidRPr="008C4B60">
        <w:t xml:space="preserve">punitive damages for willful or reckless </w:t>
      </w:r>
      <w:proofErr w:type="gramStart"/>
      <w:r w:rsidRPr="008C4B60">
        <w:t>violations;</w:t>
      </w:r>
      <w:proofErr w:type="gramEnd"/>
    </w:p>
    <w:p w14:paraId="21235E37" w14:textId="722DD4D9" w:rsidR="008C4B60" w:rsidRPr="008C4B60" w:rsidRDefault="008C4B60" w:rsidP="008C4B60">
      <w:pPr>
        <w:numPr>
          <w:ilvl w:val="0"/>
          <w:numId w:val="11"/>
        </w:numPr>
        <w:contextualSpacing/>
        <w:jc w:val="both"/>
      </w:pPr>
      <w:r w:rsidRPr="008C4B60">
        <w:t>attorneys’ fees and costs.</w:t>
      </w:r>
    </w:p>
    <w:p w14:paraId="64E226AA" w14:textId="7C9FA4D3" w:rsidR="008C4B60" w:rsidRPr="008C4B60" w:rsidRDefault="008C4B60" w:rsidP="008C4B60">
      <w:pPr>
        <w:jc w:val="both"/>
      </w:pPr>
      <w:r w:rsidRPr="008C4B60">
        <w:t xml:space="preserve">(b) Each </w:t>
      </w:r>
      <w:r w:rsidR="00142AA8">
        <w:t xml:space="preserve">unauthorized </w:t>
      </w:r>
      <w:r w:rsidRPr="008C4B60">
        <w:t>administ</w:t>
      </w:r>
      <w:r w:rsidR="00142AA8">
        <w:t>ration</w:t>
      </w:r>
      <w:r w:rsidRPr="008C4B60">
        <w:t xml:space="preserve"> or withholding </w:t>
      </w:r>
      <w:r w:rsidR="00142AA8">
        <w:t xml:space="preserve">of </w:t>
      </w:r>
      <w:r w:rsidRPr="008C4B60">
        <w:t xml:space="preserve">a blood product without the patient’s required authorization constitutes a distinct violation of this </w:t>
      </w:r>
      <w:r w:rsidR="00142AA8">
        <w:t>a</w:t>
      </w:r>
      <w:r w:rsidRPr="008C4B60">
        <w:t>ct.</w:t>
      </w:r>
    </w:p>
    <w:p w14:paraId="52F23AEC" w14:textId="634B843D" w:rsidR="008C4B60" w:rsidRPr="008C4B60" w:rsidRDefault="008C4B60" w:rsidP="008C4B60">
      <w:pPr>
        <w:jc w:val="both"/>
      </w:pPr>
      <w:r w:rsidRPr="008C4B60">
        <w:lastRenderedPageBreak/>
        <w:t>(c) Any health care facility</w:t>
      </w:r>
      <w:r w:rsidR="00A073E3">
        <w:t xml:space="preserve"> </w:t>
      </w:r>
      <w:r w:rsidR="00A073E3" w:rsidRPr="00A073E3">
        <w:t>determined</w:t>
      </w:r>
      <w:r w:rsidR="004D4349">
        <w:t>,</w:t>
      </w:r>
      <w:r w:rsidR="00A073E3" w:rsidRPr="00A073E3">
        <w:t xml:space="preserve"> through administrative or judicial proceedings</w:t>
      </w:r>
      <w:r w:rsidR="004D4349">
        <w:t>,</w:t>
      </w:r>
      <w:r w:rsidR="00A073E3">
        <w:t xml:space="preserve"> </w:t>
      </w:r>
      <w:r w:rsidRPr="008C4B60">
        <w:t xml:space="preserve">to have violated this </w:t>
      </w:r>
      <w:r w:rsidR="00142AA8">
        <w:t>a</w:t>
      </w:r>
      <w:r w:rsidRPr="008C4B60">
        <w:t xml:space="preserve">ct shall be ineligible </w:t>
      </w:r>
      <w:r w:rsidR="00142AA8">
        <w:t xml:space="preserve">to receive </w:t>
      </w:r>
      <w:r w:rsidRPr="008C4B60">
        <w:t>public funds</w:t>
      </w:r>
      <w:r w:rsidR="00142AA8">
        <w:t xml:space="preserve"> </w:t>
      </w:r>
      <w:r w:rsidRPr="008C4B60">
        <w:t xml:space="preserve">for a period of </w:t>
      </w:r>
      <w:proofErr w:type="gramStart"/>
      <w:r w:rsidRPr="008C4B60">
        <w:t>five  years</w:t>
      </w:r>
      <w:proofErr w:type="gramEnd"/>
      <w:r w:rsidRPr="008C4B60">
        <w:t xml:space="preserve"> </w:t>
      </w:r>
      <w:r w:rsidR="00142AA8">
        <w:t>following</w:t>
      </w:r>
      <w:r w:rsidRPr="008C4B60">
        <w:t xml:space="preserve"> the violation.</w:t>
      </w:r>
    </w:p>
    <w:p w14:paraId="31CB508B" w14:textId="216B77DB" w:rsidR="008C4B60" w:rsidRDefault="008C4B60" w:rsidP="008C4B60">
      <w:pPr>
        <w:jc w:val="both"/>
      </w:pPr>
      <w:r w:rsidRPr="008C4B60">
        <w:t xml:space="preserve">(d) Nothing in this </w:t>
      </w:r>
      <w:r w:rsidR="00142AA8">
        <w:t>a</w:t>
      </w:r>
      <w:r w:rsidRPr="008C4B60">
        <w:t xml:space="preserve">ct shall be construed to impose liability on a health care facility or provider for harm resulting solely from the administration of a blood product provided in accordance with this </w:t>
      </w:r>
      <w:r w:rsidR="00142AA8">
        <w:t>a</w:t>
      </w:r>
      <w:r w:rsidRPr="008C4B60">
        <w:t xml:space="preserve">ct, unless the </w:t>
      </w:r>
      <w:proofErr w:type="gramStart"/>
      <w:r w:rsidRPr="008C4B60">
        <w:t>facility</w:t>
      </w:r>
      <w:r w:rsidR="004B421B">
        <w:t>’</w:t>
      </w:r>
      <w:r w:rsidRPr="008C4B60">
        <w:t>s</w:t>
      </w:r>
      <w:proofErr w:type="gramEnd"/>
      <w:r w:rsidRPr="008C4B60">
        <w:t xml:space="preserve"> or provider</w:t>
      </w:r>
      <w:r w:rsidR="004B421B">
        <w:t>’</w:t>
      </w:r>
      <w:r w:rsidRPr="008C4B60">
        <w:t>s gross negligence in handling or administering the blood product contributed to the harm.</w:t>
      </w:r>
    </w:p>
    <w:p w14:paraId="27FD4691" w14:textId="7153738C" w:rsidR="00E84F27" w:rsidRDefault="00E84F27" w:rsidP="00E84F27">
      <w:pPr>
        <w:jc w:val="both"/>
      </w:pPr>
      <w:r>
        <w:t>(e) Any health care facility or provider who administers a blood product in violation of:</w:t>
      </w:r>
    </w:p>
    <w:p w14:paraId="32863268" w14:textId="77777777" w:rsidR="00E84F27" w:rsidRDefault="00E84F27" w:rsidP="002839C5">
      <w:pPr>
        <w:pStyle w:val="ListParagraph"/>
        <w:numPr>
          <w:ilvl w:val="0"/>
          <w:numId w:val="15"/>
        </w:numPr>
        <w:jc w:val="both"/>
      </w:pPr>
      <w:r>
        <w:t>a valid written request submitted under Section 1(a); or</w:t>
      </w:r>
    </w:p>
    <w:p w14:paraId="36AAD7EC" w14:textId="77777777" w:rsidR="00E84F27" w:rsidRDefault="00E84F27" w:rsidP="002839C5">
      <w:pPr>
        <w:pStyle w:val="ListParagraph"/>
        <w:numPr>
          <w:ilvl w:val="0"/>
          <w:numId w:val="15"/>
        </w:numPr>
        <w:jc w:val="both"/>
      </w:pPr>
      <w:r>
        <w:t xml:space="preserve">a valid declination executed under Section </w:t>
      </w:r>
      <w:proofErr w:type="gramStart"/>
      <w:r>
        <w:t>3(b);</w:t>
      </w:r>
      <w:proofErr w:type="gramEnd"/>
    </w:p>
    <w:p w14:paraId="7D3E23CB" w14:textId="16B2057A" w:rsidR="00E84F27" w:rsidRDefault="00E84F27" w:rsidP="00E84F27">
      <w:pPr>
        <w:jc w:val="both"/>
      </w:pPr>
      <w:r>
        <w:t>shall be strictly liable for any resulting harm.</w:t>
      </w:r>
    </w:p>
    <w:p w14:paraId="441C2FD5" w14:textId="653E4ADA" w:rsidR="004C3683" w:rsidRDefault="004C3683" w:rsidP="004C3683">
      <w:pPr>
        <w:rPr>
          <w:b/>
          <w:bCs/>
        </w:rPr>
      </w:pPr>
      <w:r w:rsidRPr="00EB535C">
        <w:rPr>
          <w:b/>
          <w:bCs/>
        </w:rPr>
        <w:t xml:space="preserve">Section </w:t>
      </w:r>
      <w:r w:rsidRPr="004C3683">
        <w:rPr>
          <w:b/>
          <w:bCs/>
        </w:rPr>
        <w:t xml:space="preserve">5. </w:t>
      </w:r>
      <w:r>
        <w:rPr>
          <w:b/>
          <w:bCs/>
        </w:rPr>
        <w:t>Definitions</w:t>
      </w:r>
    </w:p>
    <w:p w14:paraId="0863C80A" w14:textId="4B3C3A2E" w:rsidR="004C3683" w:rsidRDefault="004C3683" w:rsidP="001446E3">
      <w:pPr>
        <w:pStyle w:val="ListParagraph"/>
        <w:numPr>
          <w:ilvl w:val="0"/>
          <w:numId w:val="14"/>
        </w:numPr>
      </w:pPr>
      <w:r>
        <w:t>“</w:t>
      </w:r>
      <w:r w:rsidRPr="001446E3">
        <w:rPr>
          <w:b/>
          <w:bCs/>
        </w:rPr>
        <w:t>Autologous blood products</w:t>
      </w:r>
      <w:r>
        <w:t>”</w:t>
      </w:r>
      <w:r w:rsidRPr="00A073E3">
        <w:t xml:space="preserve"> means blood </w:t>
      </w:r>
      <w:r>
        <w:t>products</w:t>
      </w:r>
      <w:r w:rsidRPr="00A073E3">
        <w:t xml:space="preserve"> donated by </w:t>
      </w:r>
      <w:r>
        <w:t>and reserved exclusively</w:t>
      </w:r>
      <w:r w:rsidRPr="00A073E3">
        <w:t xml:space="preserve"> for administration to the same patient.</w:t>
      </w:r>
    </w:p>
    <w:p w14:paraId="76FDC9F2" w14:textId="2986E2BD" w:rsidR="004C3683" w:rsidRDefault="004C3683" w:rsidP="001446E3">
      <w:pPr>
        <w:pStyle w:val="ListParagraph"/>
        <w:numPr>
          <w:ilvl w:val="0"/>
          <w:numId w:val="14"/>
        </w:numPr>
      </w:pPr>
      <w:r w:rsidRPr="00A073E3">
        <w:t>“</w:t>
      </w:r>
      <w:r w:rsidRPr="001446E3">
        <w:rPr>
          <w:b/>
          <w:bCs/>
        </w:rPr>
        <w:t>Patient-designated donor blood products</w:t>
      </w:r>
      <w:r w:rsidRPr="00A073E3">
        <w:t xml:space="preserve">” means blood products donated by a person </w:t>
      </w:r>
      <w:r>
        <w:t>chosen</w:t>
      </w:r>
      <w:r w:rsidRPr="00A073E3">
        <w:t xml:space="preserve"> by the patient for administration to that patient.</w:t>
      </w:r>
    </w:p>
    <w:p w14:paraId="32542258" w14:textId="7DC41D77" w:rsidR="00E15F42" w:rsidRPr="008C4B60" w:rsidRDefault="004C3683" w:rsidP="00EF3DD7">
      <w:pPr>
        <w:pStyle w:val="ListParagraph"/>
        <w:numPr>
          <w:ilvl w:val="0"/>
          <w:numId w:val="14"/>
        </w:numPr>
      </w:pPr>
      <w:r>
        <w:t>“</w:t>
      </w:r>
      <w:r w:rsidRPr="001446E3">
        <w:rPr>
          <w:b/>
          <w:bCs/>
        </w:rPr>
        <w:t>Screening results</w:t>
      </w:r>
      <w:r w:rsidRPr="00142AA8">
        <w:t xml:space="preserve">” means any laboratory test results used </w:t>
      </w:r>
      <w:r w:rsidR="004D4349">
        <w:t xml:space="preserve">for the purpose of </w:t>
      </w:r>
      <w:r w:rsidRPr="00142AA8">
        <w:t>determin</w:t>
      </w:r>
      <w:r w:rsidR="004D4349">
        <w:t>ing</w:t>
      </w:r>
      <w:r w:rsidRPr="00142AA8">
        <w:t xml:space="preserve"> the characteristics, safety, or suitability of a blood product, including infectious disease markers, blood type, vaccine components, </w:t>
      </w:r>
      <w:r>
        <w:t>and</w:t>
      </w:r>
      <w:r w:rsidRPr="00142AA8">
        <w:t xml:space="preserve"> genetic traits.</w:t>
      </w:r>
    </w:p>
    <w:sectPr w:rsidR="00E15F42" w:rsidRPr="008C4B60" w:rsidSect="007C7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F7FB" w14:textId="77777777" w:rsidR="00CE7CBF" w:rsidRDefault="00CE7CBF" w:rsidP="00B65F02">
      <w:pPr>
        <w:spacing w:before="0" w:line="240" w:lineRule="auto"/>
      </w:pPr>
      <w:r>
        <w:separator/>
      </w:r>
    </w:p>
  </w:endnote>
  <w:endnote w:type="continuationSeparator" w:id="0">
    <w:p w14:paraId="59F734CA" w14:textId="77777777" w:rsidR="00CE7CBF" w:rsidRDefault="00CE7CBF" w:rsidP="00B65F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F242" w14:textId="77777777" w:rsidR="00B65F02" w:rsidRDefault="00B65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2DE5" w14:textId="77777777" w:rsidR="00B65F02" w:rsidRDefault="00B65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8E23" w14:textId="77777777" w:rsidR="00B65F02" w:rsidRDefault="00B65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1832" w14:textId="77777777" w:rsidR="00CE7CBF" w:rsidRDefault="00CE7CBF" w:rsidP="00B65F02">
      <w:pPr>
        <w:spacing w:before="0" w:line="240" w:lineRule="auto"/>
      </w:pPr>
      <w:r>
        <w:separator/>
      </w:r>
    </w:p>
  </w:footnote>
  <w:footnote w:type="continuationSeparator" w:id="0">
    <w:p w14:paraId="5CC1F9FF" w14:textId="77777777" w:rsidR="00CE7CBF" w:rsidRDefault="00CE7CBF" w:rsidP="00B65F0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AED6" w14:textId="77777777" w:rsidR="00B65F02" w:rsidRDefault="00B65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3023" w14:textId="77777777" w:rsidR="00B65F02" w:rsidRDefault="00B65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F99E" w14:textId="77777777" w:rsidR="00B65F02" w:rsidRDefault="00B65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CA3"/>
    <w:multiLevelType w:val="multilevel"/>
    <w:tmpl w:val="912E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06059"/>
    <w:multiLevelType w:val="hybridMultilevel"/>
    <w:tmpl w:val="D88C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7077"/>
    <w:multiLevelType w:val="multilevel"/>
    <w:tmpl w:val="AA8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A7FD2"/>
    <w:multiLevelType w:val="hybridMultilevel"/>
    <w:tmpl w:val="3A264BE6"/>
    <w:lvl w:ilvl="0" w:tplc="B2E2F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35CA"/>
    <w:multiLevelType w:val="multilevel"/>
    <w:tmpl w:val="95D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32A6A"/>
    <w:multiLevelType w:val="hybridMultilevel"/>
    <w:tmpl w:val="32A434D6"/>
    <w:lvl w:ilvl="0" w:tplc="C0004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21F7"/>
    <w:multiLevelType w:val="multilevel"/>
    <w:tmpl w:val="68E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A0808"/>
    <w:multiLevelType w:val="multilevel"/>
    <w:tmpl w:val="7E7C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7048C"/>
    <w:multiLevelType w:val="hybridMultilevel"/>
    <w:tmpl w:val="99D4EEA0"/>
    <w:lvl w:ilvl="0" w:tplc="359ABD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75721"/>
    <w:multiLevelType w:val="hybridMultilevel"/>
    <w:tmpl w:val="A398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96B6E"/>
    <w:multiLevelType w:val="multilevel"/>
    <w:tmpl w:val="3C866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C924799"/>
    <w:multiLevelType w:val="multilevel"/>
    <w:tmpl w:val="EB04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27778"/>
    <w:multiLevelType w:val="hybridMultilevel"/>
    <w:tmpl w:val="5FBC18D8"/>
    <w:lvl w:ilvl="0" w:tplc="9434F92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30A7"/>
    <w:multiLevelType w:val="hybridMultilevel"/>
    <w:tmpl w:val="82B8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72F9B"/>
    <w:multiLevelType w:val="multilevel"/>
    <w:tmpl w:val="34A8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014031">
    <w:abstractNumId w:val="6"/>
  </w:num>
  <w:num w:numId="2" w16cid:durableId="1779793700">
    <w:abstractNumId w:val="5"/>
  </w:num>
  <w:num w:numId="3" w16cid:durableId="1870681359">
    <w:abstractNumId w:val="1"/>
  </w:num>
  <w:num w:numId="4" w16cid:durableId="1677687865">
    <w:abstractNumId w:val="2"/>
  </w:num>
  <w:num w:numId="5" w16cid:durableId="1006517982">
    <w:abstractNumId w:val="8"/>
  </w:num>
  <w:num w:numId="6" w16cid:durableId="341592938">
    <w:abstractNumId w:val="3"/>
  </w:num>
  <w:num w:numId="7" w16cid:durableId="96608946">
    <w:abstractNumId w:val="12"/>
  </w:num>
  <w:num w:numId="8" w16cid:durableId="1652559872">
    <w:abstractNumId w:val="10"/>
  </w:num>
  <w:num w:numId="9" w16cid:durableId="568656232">
    <w:abstractNumId w:val="0"/>
  </w:num>
  <w:num w:numId="10" w16cid:durableId="1623683517">
    <w:abstractNumId w:val="4"/>
  </w:num>
  <w:num w:numId="11" w16cid:durableId="570191361">
    <w:abstractNumId w:val="7"/>
  </w:num>
  <w:num w:numId="12" w16cid:durableId="1345668474">
    <w:abstractNumId w:val="11"/>
  </w:num>
  <w:num w:numId="13" w16cid:durableId="89744527">
    <w:abstractNumId w:val="14"/>
  </w:num>
  <w:num w:numId="14" w16cid:durableId="1766606086">
    <w:abstractNumId w:val="9"/>
  </w:num>
  <w:num w:numId="15" w16cid:durableId="709301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59"/>
    <w:rsid w:val="0003620F"/>
    <w:rsid w:val="00046BCC"/>
    <w:rsid w:val="00095549"/>
    <w:rsid w:val="000C1EB0"/>
    <w:rsid w:val="001029F8"/>
    <w:rsid w:val="0012271C"/>
    <w:rsid w:val="00142AA8"/>
    <w:rsid w:val="001446E3"/>
    <w:rsid w:val="001749F5"/>
    <w:rsid w:val="00180E51"/>
    <w:rsid w:val="00190B97"/>
    <w:rsid w:val="001D2197"/>
    <w:rsid w:val="001D5AD2"/>
    <w:rsid w:val="001F3E52"/>
    <w:rsid w:val="001F52FD"/>
    <w:rsid w:val="00211832"/>
    <w:rsid w:val="00221BF6"/>
    <w:rsid w:val="002339A1"/>
    <w:rsid w:val="00276EB3"/>
    <w:rsid w:val="002839C5"/>
    <w:rsid w:val="002C2F60"/>
    <w:rsid w:val="00304009"/>
    <w:rsid w:val="00336DAF"/>
    <w:rsid w:val="00380BE3"/>
    <w:rsid w:val="0039037C"/>
    <w:rsid w:val="003C26D9"/>
    <w:rsid w:val="003F06E9"/>
    <w:rsid w:val="004077F1"/>
    <w:rsid w:val="00422B5C"/>
    <w:rsid w:val="00437FAA"/>
    <w:rsid w:val="00462467"/>
    <w:rsid w:val="004836B5"/>
    <w:rsid w:val="004B421B"/>
    <w:rsid w:val="004C3683"/>
    <w:rsid w:val="004D4349"/>
    <w:rsid w:val="004E711F"/>
    <w:rsid w:val="00511EF5"/>
    <w:rsid w:val="00532572"/>
    <w:rsid w:val="00567E59"/>
    <w:rsid w:val="005E18BE"/>
    <w:rsid w:val="00641410"/>
    <w:rsid w:val="00650154"/>
    <w:rsid w:val="006B4E35"/>
    <w:rsid w:val="007958C6"/>
    <w:rsid w:val="007C796C"/>
    <w:rsid w:val="008203E8"/>
    <w:rsid w:val="00881039"/>
    <w:rsid w:val="008967D5"/>
    <w:rsid w:val="008A78FB"/>
    <w:rsid w:val="008C0080"/>
    <w:rsid w:val="008C35AE"/>
    <w:rsid w:val="008C4B60"/>
    <w:rsid w:val="008E07F3"/>
    <w:rsid w:val="008E3DED"/>
    <w:rsid w:val="0092111B"/>
    <w:rsid w:val="00961630"/>
    <w:rsid w:val="00971469"/>
    <w:rsid w:val="009924DE"/>
    <w:rsid w:val="009C4170"/>
    <w:rsid w:val="00A073E3"/>
    <w:rsid w:val="00A16A76"/>
    <w:rsid w:val="00A73AF0"/>
    <w:rsid w:val="00AB39C4"/>
    <w:rsid w:val="00AC0AF6"/>
    <w:rsid w:val="00B26A76"/>
    <w:rsid w:val="00B3628F"/>
    <w:rsid w:val="00B43139"/>
    <w:rsid w:val="00B56162"/>
    <w:rsid w:val="00B65F02"/>
    <w:rsid w:val="00B90A78"/>
    <w:rsid w:val="00B93303"/>
    <w:rsid w:val="00BA13B7"/>
    <w:rsid w:val="00BF6191"/>
    <w:rsid w:val="00C817F2"/>
    <w:rsid w:val="00C87BD2"/>
    <w:rsid w:val="00C95FEF"/>
    <w:rsid w:val="00CD17F2"/>
    <w:rsid w:val="00CE7CBF"/>
    <w:rsid w:val="00D314C9"/>
    <w:rsid w:val="00DA3DC8"/>
    <w:rsid w:val="00DF5474"/>
    <w:rsid w:val="00E15F42"/>
    <w:rsid w:val="00E84F27"/>
    <w:rsid w:val="00E93CBF"/>
    <w:rsid w:val="00EF3DD7"/>
    <w:rsid w:val="00F01D64"/>
    <w:rsid w:val="00F02B01"/>
    <w:rsid w:val="00F0447B"/>
    <w:rsid w:val="00F502F9"/>
    <w:rsid w:val="00F73115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28C1"/>
  <w15:chartTrackingRefBased/>
  <w15:docId w15:val="{272F0279-5458-4220-857C-CE7A6F3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F3"/>
    <w:pPr>
      <w:spacing w:before="16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E59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E59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E59"/>
    <w:pPr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E5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F3E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F0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02"/>
  </w:style>
  <w:style w:type="paragraph" w:styleId="Footer">
    <w:name w:val="footer"/>
    <w:basedOn w:val="Normal"/>
    <w:link w:val="FooterChar"/>
    <w:uiPriority w:val="99"/>
    <w:unhideWhenUsed/>
    <w:rsid w:val="00B65F0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Taylor</dc:creator>
  <cp:keywords/>
  <dc:description/>
  <cp:lastModifiedBy>bill sprau.net</cp:lastModifiedBy>
  <cp:revision>8</cp:revision>
  <dcterms:created xsi:type="dcterms:W3CDTF">2025-06-13T15:41:00Z</dcterms:created>
  <dcterms:modified xsi:type="dcterms:W3CDTF">2025-06-16T17:11:00Z</dcterms:modified>
</cp:coreProperties>
</file>